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26" w:rsidRPr="001608C4" w:rsidRDefault="003D1F26" w:rsidP="003D1F2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>Приложение 1</w:t>
      </w:r>
    </w:p>
    <w:p w:rsidR="003D1F26" w:rsidRPr="001608C4" w:rsidRDefault="003D1F26" w:rsidP="003D1F26">
      <w:pPr>
        <w:pStyle w:val="ConsPlusTitle"/>
        <w:widowControl/>
        <w:tabs>
          <w:tab w:val="left" w:pos="8010"/>
        </w:tabs>
        <w:spacing w:line="220" w:lineRule="exact"/>
        <w:ind w:left="16978"/>
        <w:contextualSpacing/>
        <w:outlineLvl w:val="0"/>
        <w:rPr>
          <w:b w:val="0"/>
          <w:sz w:val="26"/>
          <w:szCs w:val="26"/>
        </w:rPr>
      </w:pPr>
    </w:p>
    <w:p w:rsidR="003D1F26" w:rsidRPr="001608C4" w:rsidRDefault="003D1F26" w:rsidP="003D1F2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>к решению Собрания депутатов</w:t>
      </w:r>
    </w:p>
    <w:p w:rsidR="003D1F26" w:rsidRPr="001608C4" w:rsidRDefault="003D1F26" w:rsidP="003D1F2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Николаевского муниципального </w:t>
      </w:r>
    </w:p>
    <w:p w:rsidR="003D1F26" w:rsidRPr="001608C4" w:rsidRDefault="003D1F26" w:rsidP="003D1F2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района </w:t>
      </w:r>
    </w:p>
    <w:p w:rsidR="003D1F26" w:rsidRPr="001608C4" w:rsidRDefault="003D1F26" w:rsidP="003D1F26">
      <w:pPr>
        <w:pStyle w:val="ConsPlusTitle"/>
        <w:widowControl/>
        <w:tabs>
          <w:tab w:val="left" w:pos="6420"/>
        </w:tabs>
        <w:spacing w:line="220" w:lineRule="exact"/>
        <w:ind w:left="10620"/>
        <w:contextualSpacing/>
        <w:outlineLvl w:val="0"/>
        <w:rPr>
          <w:b w:val="0"/>
          <w:sz w:val="26"/>
          <w:szCs w:val="26"/>
        </w:rPr>
      </w:pPr>
    </w:p>
    <w:p w:rsidR="003D1F26" w:rsidRPr="001608C4" w:rsidRDefault="003D1F26" w:rsidP="003D1F26">
      <w:pPr>
        <w:pStyle w:val="ConsPlusTitle"/>
        <w:widowControl/>
        <w:tabs>
          <w:tab w:val="left" w:pos="642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от                                 № </w:t>
      </w:r>
    </w:p>
    <w:p w:rsidR="00EA009E" w:rsidRDefault="00EA009E" w:rsidP="003D1F26">
      <w:pPr>
        <w:spacing w:line="240" w:lineRule="exact"/>
        <w:contextualSpacing/>
      </w:pPr>
    </w:p>
    <w:p w:rsidR="003D1F26" w:rsidRPr="003D1F26" w:rsidRDefault="003D1F26" w:rsidP="003D1F26">
      <w:pPr>
        <w:spacing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>ПОКАЗАТЕЛИ</w:t>
      </w:r>
    </w:p>
    <w:p w:rsidR="003D1F26" w:rsidRPr="003D1F26" w:rsidRDefault="003D1F26" w:rsidP="003D1F26">
      <w:pPr>
        <w:spacing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 xml:space="preserve">доходов районного бюджета за 2016 год по кодам бюджетной классификации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D1F26">
        <w:rPr>
          <w:rFonts w:ascii="Times New Roman" w:hAnsi="Times New Roman" w:cs="Times New Roman"/>
          <w:sz w:val="26"/>
          <w:szCs w:val="26"/>
        </w:rPr>
        <w:t>доходов бюджетов</w:t>
      </w:r>
    </w:p>
    <w:p w:rsidR="003D1F26" w:rsidRPr="003D1F26" w:rsidRDefault="003D1F26" w:rsidP="003D1F26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93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2816"/>
        <w:gridCol w:w="1940"/>
      </w:tblGrid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816" w:type="dxa"/>
            <w:shd w:val="clear" w:color="000000" w:fill="FFFFFF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дохода по 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жетной классификации</w:t>
            </w:r>
          </w:p>
        </w:tc>
        <w:tc>
          <w:tcPr>
            <w:tcW w:w="1940" w:type="dxa"/>
            <w:shd w:val="clear" w:color="000000" w:fill="FFFFFF"/>
            <w:noWrap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Исполнено</w:t>
            </w:r>
          </w:p>
        </w:tc>
      </w:tr>
    </w:tbl>
    <w:p w:rsidR="003D1F26" w:rsidRPr="003D1F26" w:rsidRDefault="003D1F26">
      <w:pPr>
        <w:rPr>
          <w:sz w:val="2"/>
          <w:szCs w:val="2"/>
        </w:rPr>
      </w:pPr>
    </w:p>
    <w:tbl>
      <w:tblPr>
        <w:tblW w:w="93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2816"/>
        <w:gridCol w:w="1940"/>
      </w:tblGrid>
      <w:tr w:rsidR="003D1F26" w:rsidRPr="003D1F26" w:rsidTr="003D1F26">
        <w:trPr>
          <w:trHeight w:val="20"/>
          <w:tblHeader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бюджета - всего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1 920 708,609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16" w:type="dxa"/>
            <w:shd w:val="clear" w:color="000000" w:fill="FFFFFF"/>
            <w:noWrap/>
            <w:hideMark/>
          </w:tcPr>
          <w:p w:rsidR="003D1F26" w:rsidRPr="003D1F26" w:rsidRDefault="003D1F26" w:rsidP="003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Федеральная служба по надзору в сфере природопользования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6 630,125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6 630,125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6 630,125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04811201000010000120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6 630,125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Плата за выбросы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 в атмосферный воздух стаци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нарными объектами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04811201010010000120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434,745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выбросы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 в атмосферный воздух стаци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04811201010016000120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434,745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выбросы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 в атмосферный воздух пер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движными объектами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04811201020010000120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7,424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выбросы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 в атмосферный воздух пер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04811201020016000120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7,424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сбросы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 в водные объекты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04811201030010000120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1 047,321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сбросы загрязняющих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ществ в водные объекты (федеральные государственные органы, Банк России,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04811201030016000120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1 047,321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Плата за размещение отходов прои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водства и потребления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04811201040010000120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5 140,634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размещение отходов прои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04811201040016000120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5 140,634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Министерство природных ресурсов Хабаровского края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166,992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166,992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166,992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тельства, водного законодательства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07511625000000000140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159,917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особо охраняемых природных территориях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07511625020010000140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охране и испол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зовании животного мира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07511625030010000140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132,917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07511635000000000140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7,075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07511635030050000140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7,075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Федеральное агентство по рыболо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4 858,005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4 858,005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4 858,005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тельства, водного законодательства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07611625000000000140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794,135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охране и испол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зовании животного мира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07611625030010000140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794,135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07611643000010000140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157,279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3 906,591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3 906,591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07611690050056000140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3 906,591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Федеральная служба по ветерина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ному и фитосанитарному надзору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08100000000000000000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08110000000000000000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08116000000000000000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08116900000000000140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08111690050050000140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08111690050056000140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Федеральное казначейство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9 800,101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9 800,101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НАЛОГИ НА ТОВАРЫ (РАБОТЫ, УСЛУГИ), РЕАЛИЗУЕМЫЕ НА ТЕ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РИТОРИИ РОССИЙСКОЙ ФЕДЕР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9 800,101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Акцизы по подакцизным товарам (продукции), производимым на терр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тории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10010302000010000000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9 800,101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уплаты акцизов на дизел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ное топливо, подлежащие распредел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числений в местные бюджеты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10010302230010000110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3 350,254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уплаты акцизов на мото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масла для дизельных и (или) ка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бюраторных (</w:t>
            </w:r>
            <w:proofErr w:type="spellStart"/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инжекторных</w:t>
            </w:r>
            <w:proofErr w:type="spellEnd"/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двигат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лей, подлежащие распределению между бюджетами субъектов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и местными бюдж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тами с учетом установленных дифф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ренцированных нормативов отчисл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в местные бюджеты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10010302240010000110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51,140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уплаты акцизов на авт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мобильный бензин, подлежащие 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пределению между бюджетами суб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ъ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ектов Российской Федерации и мес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ными бюджетами с учетом устано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ленных дифференцированных норм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тивов отчислений в местные бюджеты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10010302250010000110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6 894,924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Доходы от уплаты акцизов на прям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гонный бензин, подлежащие перера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пределению между бюджетами суб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ъ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ектов Российской Федерации и мес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ными бюджетами с учетом устано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ленных дифференцированных норм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10010302260010000110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-496,217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Федеральная служба по надзору в сфере защиты прав потребителей и благополучия человека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613,025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613,025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613,025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тельства, водного законодательства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14111625000000000140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в обл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охраны окружающей среды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14111625050010000140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в обл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14111628000010000140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387,385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14111643000010000140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ской Федерации об административных правонарушениях, предусмотренные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 (федеральные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ственные органы, Банк России, органы управления государственными вн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14111643000016000140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14111690050056000140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Федеральная служба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статистики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15711690050056000140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Федеральная служба по регулиров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алкогольного рынка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16010000000000000000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министративные правонарушения в области государственного регулир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 производства и оборота этил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вого спирта, алкогольной, спиртос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держащей и табачной продукции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16011608000010000140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Министерство Российской Федер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по делам гражданской обороны, чрезвычайным ситуациям и ликвид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последствий стихийных бедствий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130,019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130,019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130,019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17711643000010000140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51,119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78,900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78,900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Федеральная налоговая служба 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427 958,247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427 958,247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НАЛОГИ НА ПРИБЫЛЬ,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376 841,760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18210102000010000000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376 841,760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 на доходы физических лиц с доходов, источником которых являе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 налоговый агент, за исключением доходов, в отношении которых исчи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ление и уплата налога осуществляю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 в соответствии со статьями 227, 227.1 и 228 Налогового кодекса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18210102010010000110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375 667,906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источником которых являе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ся налоговый агент, за исключением доходов, в отношении которых исчи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ление и уплата налога осуществляю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 в соответствии со статьями 227, 2271 и 228 Налогового кодекса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(сумма платежа (перерасчеты, недоимка и задолже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18210102010011000110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375 667,906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Налог на доходы физических лиц с доходов, полученных от осуществл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деятельности физическими лиц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ми, зарегистрированными в качестве индивидуальных предпринимателей, нотариусов, занимающихся частной практикой, адвокатов, учредивших 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вокатские кабинеты и других лиц, 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нимающихся частной практикой в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ответствии со статьей 227 Налогового кодекса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18210102020010000110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1 118,359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18210102030010000110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55,495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НАЛОГИ НА СОВОКУПНЫЙ 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45 311,396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Налог, взимаемый в связи с прим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нением упрощенной системы налог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обложения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18210501000000000110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70,558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Налог, взимаемый с налогопл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18210501010010000110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65,154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Налог, взимаемый с налогопл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18210501011010000110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65,154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Налог, взимаемый с налогопл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18210501020010000110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5,404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Налог, взимаемый с налогопл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18210501021010000110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5,404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18210502000020000000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20 807,347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18210502010020000110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20 807,347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18210503000010000110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24 423,609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18210503010010000110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24 423,609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18210503010011000110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24 423,609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Налог, взимаемый в связи с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менением патентной системы налог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обложения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18210504000020000110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9,882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Налог, взимаемый в связи с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менением патентной системы налог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обложения, зачисляемый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18210504020020000110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9,882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НАЛОГИ НА ИМУЩЕСТВО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16,968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18210601000000000110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 физических лиц, взимаемый по ставкам, примен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емым к объектам налогообложения, расположенным в границах межс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ленных территорий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18210601030050000110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 физических лиц, взимаемый по ставкам, примен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емым к объектам налогообложения, расположенным в границах межс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ленных территорий (сумма платежа (перерасчеты, недоимка и задолже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18210601030051000110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18210604000020000110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-4,785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 с физических лиц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18210604012020000110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-4,785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18210606000000000000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20,552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 с организаций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18210606030000000110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7,724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 с организаций, обл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дающих земельным участком, расп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ложенным в границах межселенных территорий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18210606033050000110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7,724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 с физических лиц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18210606040000000000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12,828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 с физических лиц, обладающих земельным      участком, расположенным в границах межс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ленных территорий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18210606043050000110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12,828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18210800000000000000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5 649,333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18210803000010000000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5 649,333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18210803010010000110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5 649,333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Федерации) (сумма платежа (перерасчеты, недоимка и задолже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18210803010011000110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5 649,333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о нал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гах и сборах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18211603000000000140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 законодательства о нал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гах и сборах, предусмотренные стат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ями 116, 118, статьей 119.1, пунктами 1 и 2 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18211603010010000140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 законодательства о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менении контрольно-кассовой техн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 при осуществлении наличных 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нежных расчетов и (или) расчетов с использованием платежных карт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18211606000010000140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Министерство внутренних дел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2 394,709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2 394,709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2 394,709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и иные суммы, взыскиваемые с лиц,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новных в совершении преступлений, и в возмещение ущерба имуществу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18811621000000000140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64,844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и иные суммы, взыскиваемые с лиц,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новных в совершении преступлений, и в возмещение ущерба имуществу, 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числяемые в бюджеты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18811621050050000140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64,844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Денежные взыскания (штрафы) за правонарушения в области дорожного движения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18811630000010000140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488,759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денежные взыскания (штр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фы) за  правонарушения в области 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рожного движения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18811630030010000140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488,759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18811643000010000140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487,901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1 353,205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1 353,205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Федеральная служба судебных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32211643000010000140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об административных правонарушениях, предусмотренные статьей 20.25 Кодекса Российской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дерации об административных прав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нарушениях (федеральные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ственные органы, Банк России, органы управления государственными вн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бюджетными фондами Российской Федерации)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32211643000016000140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Комитет Правительства Хабаровск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края по обеспечению деятельности мировых судей, государственных 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тариусов и административных коми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71,187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71,187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71,187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муниципальных правовых актов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87211651000020000140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71,187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муниципальных правовых актов, зачисляемые в бюджеты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87211651030020000140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71,187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Главное контрольное управление Правительства Хабаровского края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Николаевского мун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ципального района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488 689,926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371,925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УСЛУГ (РАБОТ) И КОМПЕ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68,425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90111302000000000000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68,425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90111302990000000130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68,425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90111302995050000130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68,425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90111600000000000000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90111690000000000140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488 318,001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ЖЕТНОЙ СИСТЕМЫ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485 807,634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231 995,996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на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ную поддержку малого и среднего предпринимательства, включая кр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стьянские (фермерские) хозяйства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90120202009000000151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государственную по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держку малого и среднего предпр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нимательства, включая крестьянские (фермерские) хозяйства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90120202009050000151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образований на обеспечение меропр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ятий по капитальному ремонту мног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квартирных домов, переселению граждан из аварийного жилищного фонда и модернизации систем комм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нальной инфраструктуры за счет средств, поступивших от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ственной корпорации - Фонда соде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ствия реформированию жилищно-коммунального хозяйства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90120202088000000151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169 128,326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жилищного фонда за счет средств, поступивших от государственной корпорации - Фонда содействия 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формированию жилищно-коммунального хозяйства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90120202088050002151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169 128,326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муниципальных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образований на обеспечение меропр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ятий по капитальному ремонту мног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квартирных домов, переселению граждан из аварийного жилищного фонда и модернизации систем комм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нальной инфраструктуры за счет средств бюджетов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90120202089000000151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59 739,470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Субсидии бюджетам муниципальных районов на обеспечение мероприятий по переселению граждан из аварийн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жилищного фонда за счет средств бюджетов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90120202089050002151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59 739,470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2 528,200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90120202999050000151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2 528,200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субъектов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и муниципальных образований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250 117,984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на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ственную регистрацию актов гра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данского состояния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90120203003000000151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2 558,204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муниципальных районов на государственную рег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страцию актов гражданского состо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90120203003050000151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2 558,204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90120203007000000151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204,610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муниципальных районов на составление (изменение) списков кандидатов в присяжные 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седатели федеральных судов общей юрисдикции 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90120203007050000151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204,610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местным бюджетам на 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90120203024000000151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246 940,310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90120203024050000151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246 940,310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90120203121000000151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414,860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Субвенции бюджетам муниципальных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районов на проведение Всероссийской сельскохозяйственной переписи в 2016 году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90120203121050000151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414,860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3 693,654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90120204014000000151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735,367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90120204014050000151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735,367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90120204999000000151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2 958,287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межбюджетные трансферты, передаваемые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90120204999050000151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2 958,287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СТУПЛЕНИЯ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90120700000000000000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3 184,000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90120705000050000180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3 184,000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90120705030050000180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3 184,000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бюджетов бюджетной сист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Российской Федерации от возврата  бюджетами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остатков субс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дий, субвенций и иных межбюдже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трансфертов, имеющих целевое назначение, прошлых лет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90121800000000000000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1 416,100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бюджетов муниципальных районов от возврата остатков субс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дий, субвенций и иных межбюдже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трансфертов, имеющих целевое назначение, прошлых лет из бюджетов поселений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90121805010050000151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1 416,100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ОСТАТКОВ СУБСИДИЙ, СУБВЕНЦИЙ И ИНЫХ МЕЖБЮ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ЖЕТНЫХ ТРАНСФЕРТОВ, ИМ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ЮЩИХ ЦЕЛЕВОЕ НАЗНАЧЕНИЕ, ПРОШЛЫХ ЛЕТ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90121900000000000000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-2 089,733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шлых лет из бюджетов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90121905000050000151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-2 089,733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Управление образования админ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страции Николаевского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района Хабаровского края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403 898,260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144,865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УСЛУГ (РАБОТ) И КОМПЕ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144,865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90211301000000000130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90211301990000000130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90211301995050000130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компенсации затрат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90211302000000000130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114,665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90211302990000000130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114,665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90211302995050000130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114,665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403 753,395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ОТ ДРУГИХ БЮДЖЕТОВ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403 835,010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90220202000000000151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5 732,490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90220202215000000151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1 413,870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создание в общеобразов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тельных организациях, расположе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в сельской местности, условий для занятий физической культурой и спортом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90220202215050000151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1 413,870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90220202999000000151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4 318,620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90220202999050000151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4 318,620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субъектов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и муниципальных образований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90220203000000000151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44 088,030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местным бюджетам на выполнение передаваемых полном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чий субъектов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90220203024000000151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28 458,860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 на выполнение передав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емых полномочий субъектов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90220203024050000151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28 458,860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на компенс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цию части платы, взимаемой с род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телей (законных представителей) за присмотр и уход за детьми, посеща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щими образовательные организации, реализующие образовательные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граммы дошкольного образования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90220203029000000151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15 629,170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организации, реализующие обр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зовательные программы дошкольного образования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90220203029050000151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15 629,170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354 014,490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90220204999000000151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354 014,490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90220204999050000151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354 014,490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ОСТАТКОВ СУБСИДИЙ, СУБВЕНЦИЙ И ИНЫХ МЕЖБЮ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ЖЕТНЫХ ТРАНСФЕРТОВ, ИМ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ЮЩИХ ЦЕЛЕВОЕ НАЗНАЧЕНИЕ, ПРОШЛЫХ ЛЕТ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90221900000000000000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-81,615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шлых лет из бюджетов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90221905000050000151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-81,615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Отдел культуры Администрации 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колаевского муниципального района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14 787,207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668,165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УСЛУГ (РАБОТ) И КОМПЕ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90311300000000000000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668,165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90311301000000000130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668,165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90311301990000000130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668,165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90311301995050000130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668,165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14 119,042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ОТ ДРУГИХ БЮДЖЕТОВ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13 664,280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9032020200000000151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13 219,430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90320202051000000151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34,900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90320202051050000151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34,900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9032020299900000151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13 184,530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9032020299905000151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13 184,530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444,850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на комплектование книжных фондов библиотек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образований и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библиотек городов Москвы и Санкт-Петербурга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90320204025000000151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90320204025050000151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49,410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 на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мероприятий по подключ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общедоступных библиотек к 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формационно-телекоммуникационной сети "Интернет" и развитие системы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библиотечного дела с учетом задачи расширения информационных техн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логий и оцифровки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90320204041000000151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20,440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на проведение мероприятий по подключению общедоступных библиотек к информационно-телекоммуникационной сети "Инте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нет" и развитие системы библиотечн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дела с учетом задачи расширения информационных технологий и оци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ровки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90320204041050000151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20,440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на государственную поддержку муниципальных учрежд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культуры, находящихся на терр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ториях сельских поселений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90320204052000000151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на государственную по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держку муниципальных учреждений культуры, находящихся на территор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 сельских поселений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90320204052050000151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на государственную поддержку лучших работников мун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ципальных учреждений культуры, находящихся на территориях сельских поселений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90320204053000000151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 на государственную по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держку лучших работников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учреждений культуры, нах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дящихся на территориях сельских 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90320204053050000151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9032020499905000151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СТУПЛЕНИЯ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90320700000000000000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454,762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90320705000050000180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454,762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Поступления от денежных пожертв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ваний, предоставляемых физическими лицами получателям средств бюдж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90320705020050000180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414,762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90320705030050000181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Финансовое управление администр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ции Николаевского муниципального района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383 881,543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871,838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УСЛУГ (РАБОТ) И КОМПЕ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31,057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94511302000000000000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31,057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94511302990000000130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31,057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94511302995050000130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31,057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840,781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бюджетного законодател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94511618000000000140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бюджетного законодател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(в части бюджетов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94511618050050000140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Денежные взыскания (штрафы) и иные суммы, взыскиваемые с лиц, в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новных в совершении преступлений, и в возмещение ущерба имуществу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94511621000000000140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775,268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Денежные взыскания (штрафы) и иные суммы, взыскиваемые с лиц, в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новных в совершении преступлений, и в возмещение ущерба имуществу, з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числяемые в бюджеты муниципал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94511621050050000140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775,268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94511690000000000140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35,513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94511690050050000140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35,513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383 009,705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ОТ ДРУГИХ БЮДЖЕТОВ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383 009,705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94520202000000000151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245 970,790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94520202999000000151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245 970,790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субсидии бюджетам мун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94520202999050000151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245 970,790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субъектов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и муниципальных образований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94520203000000000151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667,150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местным бюджетам на выполнение передаваемых полном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чий субъектов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94520203024000000151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667,150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 на выполнение передав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емых полномочий субъектов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94520203024050000151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667,150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136 371,765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94520204014000000151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3 939,075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94520204014050000151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3 939,075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94520204999000000151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132 432,690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94520204999050000151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132 432,690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Комитет по управлению имуществом Администрации Николаевского мун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ципального района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165 762,743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40 760,412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ГОСУДАРСТВЕННАЯ ПОШЛИНА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95210800000000000000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 за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дарственную регистрацию, а также за совершение прочих юридически зн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чимых действий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95210807000010000110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 за выдачу разрешения на установку рекламной конструкции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95210807150010000110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 за выдачу специального разрешения на движ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по автомобильным дорогам транспортных средств, осуществля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 перевозки опасных, тяжелове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(или) крупногабаритных грузов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95210807170010000110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Государственная пошлина за выдачу органом местного самоуправления муниципального района специального разрешения на движение по автом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бильным дорогам транспортных средств, осуществляющих перевозки опасных, тяжеловесных и (или) кру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ногабаритных грузов, зачисляемая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95210807174010000110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ИСПОЛЬЗОВАНИЯ ИМУЩЕСТВА, НАХОДЯЩЕГОСЯ В ГОСУДАРСТВЕННОЙ И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30 213,121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Доходы, получаемые в виде арен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либо иной платы за передачу в возмездное пользование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ственного и муниципального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(за исключением имущества бюджетных и автономных учрежд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ний, а также имущества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95211105000000000120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30 001,135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Доходы, получаемые в виде арен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платы за земельные участки, го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ударственная собственность на кот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рые не разграничена, а также средства от продажи права на заключение 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говоров аренды указанных земельных участков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20 880,705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платы за земельные участки, го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ударственная собственность на кот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рые не разграничена и которые расп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ложены в границах межселенных те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риторий муниципальных районов,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земельных участков</w:t>
            </w:r>
            <w:proofErr w:type="gramEnd"/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95211105013050000120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8 555,959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Доходы, получаемые в виде арендной платы за земельные участки,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земельных участков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95211105013100000120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2 067,331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земельных участков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95211105013130000120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10 257,415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ных земельных участков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95211105013130011120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2 706,737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ных земельных участков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95211105013130012120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507,960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ных земельных участков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95211105013130057120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7 042,718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сдачи в аренду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ства, находящегося в оперативном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управлении органов государственной власти, органов местного самоупра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 государственных внебюдже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фондов и созданных ими учр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ждений (за исключением имущества бюджетных и автономных учрежд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95211105030000000120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9 120,430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Доходы от сдачи в аренду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ства, находящегося в оперативном управлении органов управления 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ниципальных районов и созданных ими учреждений (за исключением имущества муниципальных бюдже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автономных учреждений)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95211105035050000120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9 120,430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Платежи от государственных и 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ниципальных унитарных предприятий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95211107000000000120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перечисления части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 государственных и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унитарных предприятий, оста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щейся после уплаты налогов и обяз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тельных платежей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95211107010000000120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перечисления части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были, остающейся после уплаты нал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 и иных обязательных платежей муниципальных унитарных предпри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тий, созданных муниципальными 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онами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95211107015050000120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43,600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использования имущества и прав, находящихся в го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ударственной и муниципальной со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ственности (за исключением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бюджетных и автономных учр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ждений, а также имущества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ственных и муниципальных унита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предприятий, в том числе казе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95211109000000000120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168,386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использов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имущества, находящегося в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дарственной и муниципальной со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ственности (за исключением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бюджетных и автономных учр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ждений, а также имущества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ственных и муниципальных унита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предприятий, в том числе казе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95211109040000000120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168,386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поступления от использов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имущества, находящегося в со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ственности муниципальных районов (за исключением имущества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бюджетных и автономных учреждений, а также имущества 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ниципальных унитарных предпри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тий, в том числе казенных)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95211109045050000120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168,386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ДОХОДЫ ОТ ОКАЗАНИЯ ПЛА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УСЛУГ (РАБОТ) И КОМПЕ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268,837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95211301000000000130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196,569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95211301990000000130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196,569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95211301995050000130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196,569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 от компенсации затрат гос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95211302000000000130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72,268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95211302060000000130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51,395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Доходы, поступающие в порядке возмещения расходов, понесенных в связи с эксплуатацией  имущества 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95211302065050000130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51,395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95211302990000000130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20,873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95211302995050000130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20,873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ПРОДАЖИ МАТ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РИАЛЬНЫХ И НЕМАТЕРИАЛЬНЫХ АКТИВОВ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-134,839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ключением движимого имущества бюджетных и автономных учрежд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ний, а также имущества государстве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95211402000000000000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реализации имущества, находящегося в собственности мун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ципальных районов (за исключением движимого имущества муниципал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бюджетных и автономных учр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ждений, а также имущества муниц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пальных унитарных предприятий, в том числе казенных), в части реализ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 основных средств по указанному имуществу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95211402050050000410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Доходы от реализации иного им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щества, находящегося в собственн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 муниципальных районов (за 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ключением имущества муниципал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бюджетных и автономных учр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ждений, а также имущества муниц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пальных унитарных предприятий, в том числе казенных), в части реализ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 основных средств по указанному имуществу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95211402053050000410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-415,000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продажи земельных участков, находящихся в госуда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ственной и муниципальной собстве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95211406000000000430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280,161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продажи земельных участков, государственная собстве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 на которые не разграничена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95211406010000000430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280,161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 от продажи земельных участков, государственная собстве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 на которые не разграничена и которые расположены в границах г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родских поселений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95211406013130000430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280,161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ШТРАФЫ, САНКЦИИ, ВОЗМ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ЩЕНИЕ УЩЕРБА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95211600000000000000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10 281,994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 контрактной сист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 в сфере закупок товаров, работ, услуг для обеспечения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ных и муниципальных нужд 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95211633000000000140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12,653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 (штрафы) за нарушение законодательства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 о контрактной сист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 в сфере закупок товаров, работ, услуг для обеспечения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муниципальных нужд для нужд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95211633050050000140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12,653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Поступления сумм в возмещение вреда, причиняемого автомобильным дорогам транспортными средствами, осуществляющими перевозки тяжел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весных и (или) крупногабаритных грузов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95211637000000000140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10 269,341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Поступления сумм в возмещение вреда, причиняемого автомобильным дорогам местного значения тран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портными средствами, осуществля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щими перевозки тяжеловесных и (или) крупногабаритных грузов, зачисля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мые в бюджеты муниципальных рай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95211637040050000140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10 269,341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НЕНАЛОГОВЫЕ ДОХ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95211700000000000000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-115,901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Невыясненные поступления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95211701000000000180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-115,901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100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Невыясненные поступления, зачи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ляемые в бюджеты муниципальных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95211701050050000180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-115,901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125 002,331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ОТ ДРУГИХ БЮДЖЕТОВ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125 002,500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95220202000000000151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20 376,207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95220202999000000151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20 376,207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95220202999050000151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20 376,207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субъектов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 и муниципальных образований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95220203000000000151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831,946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местным бюджетам на выполнение передаваемых полном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чий субъектов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95220203024000000151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831,946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Субвенции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 на выполнение передав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емых полномочий субъектов 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95220203024050000151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831,946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103 794,347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95220204014000000151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103 794,347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ваемые бюджетам муниципальных районов из бюджетов поселений на 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95220204014050000151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103 794,347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ВОЗВРАТ ОСТАТКОВ СУБСИДИЙ, СУБВЕНЦИЙ И ИНЫХ МЕЖБЮ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ЖЕТНЫХ ТРАНСФЕРТОВ, ИМ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ЮЩИХ ЦЕЛЕВОЕ НАЗНАЧЕНИЕ, ПРОШЛЫХ ЛЕТ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95221900000000000000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-0,169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шлых лет из бюджетов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95221905000050000151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-0,169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Собрание Депутатов Николаевского муниципального района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ЖЕТНОЙ СИСТЕМЫ РОССИЙСКОЙ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95320204014000000151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95320204014050000151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481,333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Отдел по молодежной политике, ф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зической культуре и спорту Админ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страции Николаевского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района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95400000000000000000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10 012,000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95420000000000000000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10 012,000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БЕЗВОЗМЕЗДНЫЕ ПОСТУПЛ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ОТ ДРУГИХ БЮДЖЕТОВ БЮДЖЕТНОЙ СИСТЕМЫ РО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СИЙСКОЙ ФЕДЕРАЦИИ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95420200000000000000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10 012,000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стемы Российской Федерации (ме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субсидии)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95420202000000000151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9 698,200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Субсидии бюджетам на обеспечение жильем молодых семей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95420202008000000151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7 753,380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обеспечение жильем м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лодых семей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95420202008050000151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7 753,380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на реализацию мероприятий по поэтапному внедр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Всероссийского физкультурно-спортивного комплекса "Готов к труду и обороне" (ГТО)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95420202220000000151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реализацию мероприятий по поэтапному внедрению Всеросси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физкультурно-спортивного комплекса "Готов к труду и обороне" (ГТО)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95420202220050000151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1 744,820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муниц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95420202999050000151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1 744,820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95420204000000000151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313,800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95420204014000000151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253,800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глашениями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95420204014050000151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253,800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95420204999000000151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Прочие межбюджетные трансферты, передаваемые бюджетам муниципал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районов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95420204999050000151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60,000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 поселение "Город Никол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евск-на-Амуре"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95700000000000000000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НАЛОГОВЫЕ И НЕНАЛОГ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ВЫЕ ДОХОДЫ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95710000000000000000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ИСПОЛЬЗОВ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ИМУЩЕСТВА, НАХОДЯЩ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ГОСЯ В ГОСУДАРСТВЕННОЙ И МУНИЦИПАЛЬНОЙ СОБСТВЕ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95711100000000000000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Доходы, получаемые в виде арендной либо иной платы за перед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 в возмездное пользование госуда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ственного и муниципального имущ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(за исключением имущества бюджетных и автономных учрежд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ний, а также имущества государстве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95711105000000000120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государственная собственность на к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торые не разграничена, а также сре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 от продажи права на заключение договоров аренды указанных земел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участков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95711105010000000120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  <w:tr w:rsidR="003D1F26" w:rsidRPr="003D1F26" w:rsidTr="003D1F26">
        <w:trPr>
          <w:trHeight w:val="20"/>
        </w:trPr>
        <w:tc>
          <w:tcPr>
            <w:tcW w:w="4551" w:type="dxa"/>
            <w:shd w:val="clear" w:color="000000" w:fill="FFFFFF"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получаемые в виде арендной платы за земельные участки, государственная собственность на к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торые не разграничена и которые ра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положены в границах городских пос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лений, а также средства от продажи права на заключение договоров аре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указанных земельных участков</w:t>
            </w:r>
          </w:p>
        </w:tc>
        <w:tc>
          <w:tcPr>
            <w:tcW w:w="2816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95711105013130000120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:rsidR="003D1F26" w:rsidRPr="003D1F26" w:rsidRDefault="003D1F26" w:rsidP="003D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459,087</w:t>
            </w:r>
          </w:p>
        </w:tc>
      </w:tr>
    </w:tbl>
    <w:p w:rsidR="003D1F26" w:rsidRDefault="003D1F26"/>
    <w:p w:rsidR="003D1F26" w:rsidRPr="003D1F26" w:rsidRDefault="003D1F26">
      <w:pPr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 xml:space="preserve">Глава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D1F2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EA63B7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3D1F26">
        <w:rPr>
          <w:rFonts w:ascii="Times New Roman" w:hAnsi="Times New Roman" w:cs="Times New Roman"/>
          <w:sz w:val="26"/>
          <w:szCs w:val="26"/>
        </w:rPr>
        <w:t xml:space="preserve">               А.М. Ле</w:t>
      </w:r>
      <w:r w:rsidRPr="003D1F26">
        <w:rPr>
          <w:rFonts w:ascii="Times New Roman" w:hAnsi="Times New Roman" w:cs="Times New Roman"/>
          <w:sz w:val="26"/>
          <w:szCs w:val="26"/>
        </w:rPr>
        <w:t>о</w:t>
      </w:r>
      <w:r w:rsidRPr="003D1F26">
        <w:rPr>
          <w:rFonts w:ascii="Times New Roman" w:hAnsi="Times New Roman" w:cs="Times New Roman"/>
          <w:sz w:val="26"/>
          <w:szCs w:val="26"/>
        </w:rPr>
        <w:t>нов</w:t>
      </w:r>
    </w:p>
    <w:sectPr w:rsidR="003D1F26" w:rsidRPr="003D1F26" w:rsidSect="003D1F26">
      <w:headerReference w:type="default" r:id="rId7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92" w:rsidRDefault="00FF4792" w:rsidP="003D1F26">
      <w:pPr>
        <w:spacing w:after="0" w:line="240" w:lineRule="auto"/>
      </w:pPr>
      <w:r>
        <w:separator/>
      </w:r>
    </w:p>
  </w:endnote>
  <w:endnote w:type="continuationSeparator" w:id="0">
    <w:p w:rsidR="00FF4792" w:rsidRDefault="00FF4792" w:rsidP="003D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92" w:rsidRDefault="00FF4792" w:rsidP="003D1F26">
      <w:pPr>
        <w:spacing w:after="0" w:line="240" w:lineRule="auto"/>
      </w:pPr>
      <w:r>
        <w:separator/>
      </w:r>
    </w:p>
  </w:footnote>
  <w:footnote w:type="continuationSeparator" w:id="0">
    <w:p w:rsidR="00FF4792" w:rsidRDefault="00FF4792" w:rsidP="003D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331763"/>
      <w:docPartObj>
        <w:docPartGallery w:val="Page Numbers (Top of Page)"/>
        <w:docPartUnique/>
      </w:docPartObj>
    </w:sdtPr>
    <w:sdtEndPr/>
    <w:sdtContent>
      <w:p w:rsidR="003D1F26" w:rsidRDefault="003D1F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3B7">
          <w:rPr>
            <w:noProof/>
          </w:rPr>
          <w:t>30</w:t>
        </w:r>
        <w:r>
          <w:fldChar w:fldCharType="end"/>
        </w:r>
      </w:p>
    </w:sdtContent>
  </w:sdt>
  <w:p w:rsidR="003D1F26" w:rsidRDefault="003D1F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26"/>
    <w:rsid w:val="003D1F26"/>
    <w:rsid w:val="00DF67BD"/>
    <w:rsid w:val="00EA009E"/>
    <w:rsid w:val="00EA63B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F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F26"/>
    <w:rPr>
      <w:color w:val="800080"/>
      <w:u w:val="single"/>
    </w:rPr>
  </w:style>
  <w:style w:type="paragraph" w:customStyle="1" w:styleId="xl70">
    <w:name w:val="xl70"/>
    <w:basedOn w:val="a"/>
    <w:rsid w:val="003D1F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3">
    <w:name w:val="xl7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4">
    <w:name w:val="xl74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3D1F26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3D1F2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3D1F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3D1F26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7">
    <w:name w:val="xl87"/>
    <w:basedOn w:val="a"/>
    <w:rsid w:val="003D1F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3D1F26"/>
    <w:pPr>
      <w:pBdr>
        <w:top w:val="single" w:sz="4" w:space="0" w:color="000000"/>
        <w:left w:val="single" w:sz="4" w:space="9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0">
    <w:name w:val="xl90"/>
    <w:basedOn w:val="a"/>
    <w:rsid w:val="003D1F2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1">
    <w:name w:val="xl9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D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F26"/>
  </w:style>
  <w:style w:type="paragraph" w:styleId="a7">
    <w:name w:val="footer"/>
    <w:basedOn w:val="a"/>
    <w:link w:val="a8"/>
    <w:uiPriority w:val="99"/>
    <w:unhideWhenUsed/>
    <w:rsid w:val="003D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F26"/>
  </w:style>
  <w:style w:type="paragraph" w:customStyle="1" w:styleId="ConsPlusTitle">
    <w:name w:val="ConsPlusTitle"/>
    <w:rsid w:val="003D1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F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F26"/>
    <w:rPr>
      <w:color w:val="800080"/>
      <w:u w:val="single"/>
    </w:rPr>
  </w:style>
  <w:style w:type="paragraph" w:customStyle="1" w:styleId="xl70">
    <w:name w:val="xl70"/>
    <w:basedOn w:val="a"/>
    <w:rsid w:val="003D1F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3">
    <w:name w:val="xl7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4">
    <w:name w:val="xl74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3D1F26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3D1F2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3D1F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3D1F26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7">
    <w:name w:val="xl87"/>
    <w:basedOn w:val="a"/>
    <w:rsid w:val="003D1F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3D1F26"/>
    <w:pPr>
      <w:pBdr>
        <w:top w:val="single" w:sz="4" w:space="0" w:color="000000"/>
        <w:left w:val="single" w:sz="4" w:space="9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0">
    <w:name w:val="xl90"/>
    <w:basedOn w:val="a"/>
    <w:rsid w:val="003D1F2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1">
    <w:name w:val="xl91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3D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D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F26"/>
  </w:style>
  <w:style w:type="paragraph" w:styleId="a7">
    <w:name w:val="footer"/>
    <w:basedOn w:val="a"/>
    <w:link w:val="a8"/>
    <w:uiPriority w:val="99"/>
    <w:unhideWhenUsed/>
    <w:rsid w:val="003D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F26"/>
  </w:style>
  <w:style w:type="paragraph" w:customStyle="1" w:styleId="ConsPlusTitle">
    <w:name w:val="ConsPlusTitle"/>
    <w:rsid w:val="003D1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7449</Words>
  <Characters>42462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2017-05-02T02:32:00Z</dcterms:created>
  <dcterms:modified xsi:type="dcterms:W3CDTF">2017-05-02T07:31:00Z</dcterms:modified>
</cp:coreProperties>
</file>